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7B" w:rsidRPr="00BF617B" w:rsidRDefault="00BF617B" w:rsidP="00BF617B">
      <w:pPr>
        <w:jc w:val="center"/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LISTADO DE COMANDOS</w:t>
      </w:r>
    </w:p>
    <w:tbl>
      <w:tblPr>
        <w:tblStyle w:val="Tablaconcuadrcula"/>
        <w:tblW w:w="9347" w:type="dxa"/>
        <w:tblLook w:val="04A0" w:firstRow="1" w:lastRow="0" w:firstColumn="1" w:lastColumn="0" w:noHBand="0" w:noVBand="1"/>
      </w:tblPr>
      <w:tblGrid>
        <w:gridCol w:w="1197"/>
        <w:gridCol w:w="8150"/>
      </w:tblGrid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Comando</w:t>
            </w:r>
          </w:p>
        </w:tc>
        <w:tc>
          <w:tcPr>
            <w:tcW w:w="8150" w:type="dxa"/>
          </w:tcPr>
          <w:p w:rsidR="00D967BB" w:rsidRDefault="00BF617B" w:rsidP="00710E2E">
            <w:pPr>
              <w:jc w:val="center"/>
            </w:pPr>
            <w:r>
              <w:t>Description</w:t>
            </w:r>
            <w:r w:rsidR="0054539B">
              <w:t xml:space="preserve"> del </w:t>
            </w:r>
            <w:r>
              <w:t>comando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A10</w:t>
            </w:r>
          </w:p>
        </w:tc>
        <w:tc>
          <w:tcPr>
            <w:tcW w:w="8150" w:type="dxa"/>
          </w:tcPr>
          <w:p w:rsidR="00D967BB" w:rsidRDefault="0054539B">
            <w:r>
              <w:t>Consulta de ubicación en tiempo real (GPRS)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A11</w:t>
            </w:r>
          </w:p>
        </w:tc>
        <w:tc>
          <w:tcPr>
            <w:tcW w:w="8150" w:type="dxa"/>
          </w:tcPr>
          <w:p w:rsidR="00D967BB" w:rsidRDefault="0054539B">
            <w:r>
              <w:t>Configuración de un intervalo de informe de paquetes de latidos (GPRS)</w:t>
            </w:r>
          </w:p>
        </w:tc>
      </w:tr>
      <w:tr w:rsidR="00D967BB" w:rsidTr="00710E2E">
        <w:trPr>
          <w:trHeight w:val="308"/>
        </w:trPr>
        <w:tc>
          <w:tcPr>
            <w:tcW w:w="1197" w:type="dxa"/>
          </w:tcPr>
          <w:p w:rsidR="00D967BB" w:rsidRDefault="0054539B">
            <w:r>
              <w:t>A12</w:t>
            </w:r>
          </w:p>
        </w:tc>
        <w:tc>
          <w:tcPr>
            <w:tcW w:w="8150" w:type="dxa"/>
          </w:tcPr>
          <w:p w:rsidR="00D967BB" w:rsidRDefault="0054539B">
            <w:r>
              <w:t>Seguimiento por intervalo de tiempo (GPRS)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A13</w:t>
            </w:r>
          </w:p>
        </w:tc>
        <w:tc>
          <w:tcPr>
            <w:tcW w:w="8150" w:type="dxa"/>
          </w:tcPr>
          <w:p w:rsidR="00D967BB" w:rsidRDefault="0054539B">
            <w:r>
              <w:t>Configuración del informe de curvas (GPRS)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A14</w:t>
            </w:r>
          </w:p>
        </w:tc>
        <w:tc>
          <w:tcPr>
            <w:tcW w:w="8150" w:type="dxa"/>
          </w:tcPr>
          <w:p w:rsidR="00D967BB" w:rsidRDefault="0054539B">
            <w:r>
              <w:t>Seguimiento por distancia</w:t>
            </w:r>
          </w:p>
        </w:tc>
      </w:tr>
      <w:tr w:rsidR="00D967BB" w:rsidTr="00710E2E">
        <w:trPr>
          <w:trHeight w:val="656"/>
        </w:trPr>
        <w:tc>
          <w:tcPr>
            <w:tcW w:w="1197" w:type="dxa"/>
          </w:tcPr>
          <w:p w:rsidR="00D967BB" w:rsidRDefault="0054539B">
            <w:r>
              <w:t>A15</w:t>
            </w:r>
          </w:p>
        </w:tc>
        <w:tc>
          <w:tcPr>
            <w:tcW w:w="8150" w:type="dxa"/>
          </w:tcPr>
          <w:p w:rsidR="00D967BB" w:rsidRDefault="0054539B">
            <w:r>
              <w:t>Configuración de la función de seguimiento programado de estacionamiento (GPRS)</w:t>
            </w:r>
          </w:p>
        </w:tc>
      </w:tr>
      <w:tr w:rsidR="00D967BB" w:rsidTr="00710E2E">
        <w:trPr>
          <w:trHeight w:val="656"/>
        </w:trPr>
        <w:tc>
          <w:tcPr>
            <w:tcW w:w="1197" w:type="dxa"/>
          </w:tcPr>
          <w:p w:rsidR="00D967BB" w:rsidRDefault="0054539B">
            <w:r>
              <w:t>A16</w:t>
            </w:r>
          </w:p>
        </w:tc>
        <w:tc>
          <w:tcPr>
            <w:tcW w:w="8150" w:type="dxa"/>
          </w:tcPr>
          <w:p w:rsidR="00D967BB" w:rsidRDefault="0054539B">
            <w:r>
              <w:t>Habilitación de la función de seguimiento programado de estacionamiento (GPRS)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A17</w:t>
            </w:r>
          </w:p>
        </w:tc>
        <w:tc>
          <w:tcPr>
            <w:tcW w:w="8150" w:type="dxa"/>
          </w:tcPr>
          <w:p w:rsidR="00D967BB" w:rsidRDefault="0054539B">
            <w:r>
              <w:t>Control del estado de la salida 1 mediante RFID/iButton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A21</w:t>
            </w:r>
          </w:p>
        </w:tc>
        <w:tc>
          <w:tcPr>
            <w:tcW w:w="8150" w:type="dxa"/>
          </w:tcPr>
          <w:p w:rsidR="00D967BB" w:rsidRDefault="0054539B">
            <w:r>
              <w:t>Configuración de parámetros GPRS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A23</w:t>
            </w:r>
          </w:p>
        </w:tc>
        <w:tc>
          <w:tcPr>
            <w:tcW w:w="8150" w:type="dxa"/>
          </w:tcPr>
          <w:p w:rsidR="00D967BB" w:rsidRDefault="0054539B">
            <w:r>
              <w:t>Configuración del servidor GPRS en espera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A25</w:t>
            </w:r>
          </w:p>
        </w:tc>
        <w:tc>
          <w:tcPr>
            <w:tcW w:w="8150" w:type="dxa"/>
          </w:tcPr>
          <w:p w:rsidR="00D967BB" w:rsidRDefault="0054539B">
            <w:r>
              <w:t>Configuración de parámetros GPRS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A70</w:t>
            </w:r>
          </w:p>
        </w:tc>
        <w:tc>
          <w:tcPr>
            <w:tcW w:w="8150" w:type="dxa"/>
          </w:tcPr>
          <w:p w:rsidR="00D967BB" w:rsidRDefault="0054539B">
            <w:r>
              <w:t>Lectura de todos los números de teléfono autorizados</w:t>
            </w:r>
          </w:p>
        </w:tc>
      </w:tr>
      <w:tr w:rsidR="00D967BB" w:rsidTr="00710E2E">
        <w:trPr>
          <w:trHeight w:val="308"/>
        </w:trPr>
        <w:tc>
          <w:tcPr>
            <w:tcW w:w="1197" w:type="dxa"/>
          </w:tcPr>
          <w:p w:rsidR="00D967BB" w:rsidRDefault="0054539B">
            <w:r>
              <w:t>A71</w:t>
            </w:r>
          </w:p>
        </w:tc>
        <w:tc>
          <w:tcPr>
            <w:tcW w:w="8150" w:type="dxa"/>
          </w:tcPr>
          <w:p w:rsidR="00D967BB" w:rsidRDefault="0054539B">
            <w:r>
              <w:t>Configuración de números de teléfono autorizados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A72</w:t>
            </w:r>
          </w:p>
        </w:tc>
        <w:tc>
          <w:tcPr>
            <w:tcW w:w="8150" w:type="dxa"/>
          </w:tcPr>
          <w:p w:rsidR="00D967BB" w:rsidRDefault="0054539B">
            <w:r>
              <w:t>Configuración de números de teléfono de escucha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A73</w:t>
            </w:r>
          </w:p>
        </w:tc>
        <w:tc>
          <w:tcPr>
            <w:tcW w:w="8150" w:type="dxa"/>
          </w:tcPr>
          <w:p w:rsidR="00D967BB" w:rsidRDefault="0054539B">
            <w:r>
              <w:t xml:space="preserve">Configuración del modo de </w:t>
            </w:r>
            <w:r w:rsidR="00BF617B">
              <w:t>suspension</w:t>
            </w:r>
            <w:r>
              <w:t xml:space="preserve"> inteligente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A9A</w:t>
            </w:r>
          </w:p>
        </w:tc>
        <w:tc>
          <w:tcPr>
            <w:tcW w:w="8150" w:type="dxa"/>
          </w:tcPr>
          <w:p w:rsidR="00D967BB" w:rsidRDefault="0054539B">
            <w:r>
              <w:t>Transmisión de datos de audio y video en tiempo real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A9B</w:t>
            </w:r>
          </w:p>
        </w:tc>
        <w:tc>
          <w:tcPr>
            <w:tcW w:w="8150" w:type="dxa"/>
          </w:tcPr>
          <w:p w:rsidR="00D967BB" w:rsidRDefault="0054539B">
            <w:r>
              <w:t>Control de la transmisión de audio y video en tiempo real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A9C</w:t>
            </w:r>
          </w:p>
        </w:tc>
        <w:tc>
          <w:tcPr>
            <w:tcW w:w="8150" w:type="dxa"/>
          </w:tcPr>
          <w:p w:rsidR="00D967BB" w:rsidRDefault="0054539B">
            <w:r>
              <w:t>Consulta de la lista de recursos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A9D</w:t>
            </w:r>
          </w:p>
        </w:tc>
        <w:tc>
          <w:tcPr>
            <w:tcW w:w="8150" w:type="dxa"/>
          </w:tcPr>
          <w:p w:rsidR="00D967BB" w:rsidRDefault="0054539B">
            <w:r>
              <w:t>Reproducción de videos de forma remota</w:t>
            </w:r>
          </w:p>
        </w:tc>
      </w:tr>
      <w:tr w:rsidR="00D967BB" w:rsidTr="00710E2E">
        <w:trPr>
          <w:trHeight w:val="308"/>
        </w:trPr>
        <w:tc>
          <w:tcPr>
            <w:tcW w:w="1197" w:type="dxa"/>
          </w:tcPr>
          <w:p w:rsidR="00D967BB" w:rsidRDefault="0054539B">
            <w:r>
              <w:t>A9E</w:t>
            </w:r>
          </w:p>
        </w:tc>
        <w:tc>
          <w:tcPr>
            <w:tcW w:w="8150" w:type="dxa"/>
          </w:tcPr>
          <w:p w:rsidR="00D967BB" w:rsidRDefault="0054539B">
            <w:r>
              <w:t>Control de la reproducción de video remota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A9F</w:t>
            </w:r>
          </w:p>
        </w:tc>
        <w:tc>
          <w:tcPr>
            <w:tcW w:w="8150" w:type="dxa"/>
          </w:tcPr>
          <w:p w:rsidR="00D967BB" w:rsidRDefault="0054539B">
            <w:r>
              <w:t>Carga de archivos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AA0</w:t>
            </w:r>
          </w:p>
        </w:tc>
        <w:tc>
          <w:tcPr>
            <w:tcW w:w="8150" w:type="dxa"/>
          </w:tcPr>
          <w:p w:rsidR="00D967BB" w:rsidRDefault="0054539B">
            <w:r>
              <w:t>Control de la carga de archivos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AA1</w:t>
            </w:r>
          </w:p>
        </w:tc>
        <w:tc>
          <w:tcPr>
            <w:tcW w:w="8150" w:type="dxa"/>
          </w:tcPr>
          <w:p w:rsidR="00D967BB" w:rsidRDefault="0054539B">
            <w:r>
              <w:t>Obtención de la lista WiFi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AA2</w:t>
            </w:r>
          </w:p>
        </w:tc>
        <w:tc>
          <w:tcPr>
            <w:tcW w:w="8150" w:type="dxa"/>
          </w:tcPr>
          <w:p w:rsidR="00D967BB" w:rsidRDefault="0054539B">
            <w:r>
              <w:t>Envío del progreso de carga de archivos FTP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AA3</w:t>
            </w:r>
          </w:p>
        </w:tc>
        <w:tc>
          <w:tcPr>
            <w:tcW w:w="8150" w:type="dxa"/>
          </w:tcPr>
          <w:p w:rsidR="00D967BB" w:rsidRDefault="0054539B">
            <w:r>
              <w:t>Obtención del estado de la red MDVR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AA4</w:t>
            </w:r>
          </w:p>
        </w:tc>
        <w:tc>
          <w:tcPr>
            <w:tcW w:w="8150" w:type="dxa"/>
          </w:tcPr>
          <w:p w:rsidR="00D967BB" w:rsidRDefault="0054539B">
            <w:r>
              <w:t>Consulta de los días en que se han almacenado los archivos de video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AB2</w:t>
            </w:r>
          </w:p>
        </w:tc>
        <w:tc>
          <w:tcPr>
            <w:tcW w:w="8150" w:type="dxa"/>
          </w:tcPr>
          <w:p w:rsidR="00D967BB" w:rsidRDefault="0054539B">
            <w:r>
              <w:t>Transmisión de datos de audio y video en tiempo real mediante RTMP</w:t>
            </w:r>
          </w:p>
        </w:tc>
      </w:tr>
      <w:tr w:rsidR="00D967BB" w:rsidTr="00710E2E">
        <w:trPr>
          <w:trHeight w:val="308"/>
        </w:trPr>
        <w:tc>
          <w:tcPr>
            <w:tcW w:w="1197" w:type="dxa"/>
          </w:tcPr>
          <w:p w:rsidR="00D967BB" w:rsidRDefault="0054539B">
            <w:r>
              <w:t>AB3</w:t>
            </w:r>
          </w:p>
        </w:tc>
        <w:tc>
          <w:tcPr>
            <w:tcW w:w="8150" w:type="dxa"/>
          </w:tcPr>
          <w:p w:rsidR="00D967BB" w:rsidRDefault="0054539B">
            <w:r>
              <w:t>Control de la transmisión de audio y video en tiempo real mediante RTMP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AB4</w:t>
            </w:r>
          </w:p>
        </w:tc>
        <w:tc>
          <w:tcPr>
            <w:tcW w:w="8150" w:type="dxa"/>
          </w:tcPr>
          <w:p w:rsidR="00D967BB" w:rsidRDefault="0054539B">
            <w:r>
              <w:t>Reproducción de videos de forma remota mediante RTMP (GPRS)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AB5</w:t>
            </w:r>
          </w:p>
        </w:tc>
        <w:tc>
          <w:tcPr>
            <w:tcW w:w="8150" w:type="dxa"/>
          </w:tcPr>
          <w:p w:rsidR="00D967BB" w:rsidRDefault="0054539B">
            <w:r>
              <w:t>Control de la reproducción de video remota mediante RTMP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ABS</w:t>
            </w:r>
          </w:p>
        </w:tc>
        <w:tc>
          <w:tcPr>
            <w:tcW w:w="8150" w:type="dxa"/>
          </w:tcPr>
          <w:p w:rsidR="00D967BB" w:rsidRDefault="0054539B">
            <w:r>
              <w:t>Consulta de la lista de recursos a partir de paquetes de datos</w:t>
            </w:r>
          </w:p>
        </w:tc>
      </w:tr>
      <w:tr w:rsidR="00D967BB" w:rsidTr="00710E2E">
        <w:trPr>
          <w:trHeight w:val="327"/>
        </w:trPr>
        <w:tc>
          <w:tcPr>
            <w:tcW w:w="1197" w:type="dxa"/>
          </w:tcPr>
          <w:p w:rsidR="00D967BB" w:rsidRDefault="0054539B">
            <w:r>
              <w:t>ABB</w:t>
            </w:r>
          </w:p>
        </w:tc>
        <w:tc>
          <w:tcPr>
            <w:tcW w:w="8150" w:type="dxa"/>
          </w:tcPr>
          <w:p w:rsidR="00D967BB" w:rsidRDefault="0054539B">
            <w:r>
              <w:t>Configuración de la función de punto de acceso WiFi</w:t>
            </w:r>
          </w:p>
        </w:tc>
      </w:tr>
      <w:tr w:rsidR="00D967BB" w:rsidTr="00710E2E">
        <w:trPr>
          <w:trHeight w:val="308"/>
        </w:trPr>
        <w:tc>
          <w:tcPr>
            <w:tcW w:w="1197" w:type="dxa"/>
          </w:tcPr>
          <w:p w:rsidR="00D967BB" w:rsidRDefault="0054539B">
            <w:r>
              <w:t>B05</w:t>
            </w:r>
          </w:p>
        </w:tc>
        <w:tc>
          <w:tcPr>
            <w:tcW w:w="8150" w:type="dxa"/>
          </w:tcPr>
          <w:p w:rsidR="00D967BB" w:rsidRDefault="0054539B">
            <w:r>
              <w:t>Configuración de una geovalla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B06</w:t>
            </w:r>
          </w:p>
        </w:tc>
        <w:tc>
          <w:tcPr>
            <w:tcW w:w="8150" w:type="dxa"/>
          </w:tcPr>
          <w:p w:rsidR="00BF617B" w:rsidRDefault="00BF617B" w:rsidP="00730B06">
            <w:r>
              <w:t>Eliminación de una geocerca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lastRenderedPageBreak/>
              <w:t>B07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 la alerta de exceso de velocidad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B08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 la alerta de remolque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B10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rápida de la alerta de remolque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B11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 una geovalla poligonal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B12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del modo de cálculo de kilometraje y velocidad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B20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del intervalo de tiempo para reporte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B31</w:t>
            </w:r>
          </w:p>
        </w:tc>
        <w:tc>
          <w:tcPr>
            <w:tcW w:w="8150" w:type="dxa"/>
          </w:tcPr>
          <w:p w:rsidR="00BF617B" w:rsidRDefault="00BF617B" w:rsidP="00730B06">
            <w:r>
              <w:t>Apagado del indicador LED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B32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 energía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B35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 la zona horaria local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B36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 la zona horaria GPRS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B44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 los parámetros de carga de fotos por FTP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B91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 los caracteres de los eventos SMS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B99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 la autorización de eventos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BB8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del nivel de volumen del altavoz del MDVR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C01</w:t>
            </w:r>
          </w:p>
        </w:tc>
        <w:tc>
          <w:tcPr>
            <w:tcW w:w="8150" w:type="dxa"/>
          </w:tcPr>
          <w:p w:rsidR="00BF617B" w:rsidRDefault="00BF617B" w:rsidP="00730B06">
            <w:r>
              <w:t>Control del estado de salida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C02</w:t>
            </w:r>
          </w:p>
        </w:tc>
        <w:tc>
          <w:tcPr>
            <w:tcW w:w="8150" w:type="dxa"/>
          </w:tcPr>
          <w:p w:rsidR="00BF617B" w:rsidRDefault="00BF617B" w:rsidP="00730B06">
            <w:r>
              <w:t>Notificación al dispositivo del envío de un SMS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C03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 un modo de transmisión de evento GPRS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C40</w:t>
            </w:r>
          </w:p>
        </w:tc>
        <w:tc>
          <w:tcPr>
            <w:tcW w:w="8150" w:type="dxa"/>
          </w:tcPr>
          <w:p w:rsidR="00BF617B" w:rsidRDefault="00BF617B" w:rsidP="00730B06">
            <w:r>
              <w:t>Registro de un número de sensor de temperatura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C41</w:t>
            </w:r>
          </w:p>
        </w:tc>
        <w:tc>
          <w:tcPr>
            <w:tcW w:w="8150" w:type="dxa"/>
          </w:tcPr>
          <w:p w:rsidR="00BF617B" w:rsidRDefault="00BF617B" w:rsidP="00730B06">
            <w:r>
              <w:t>Eliminación de un sensor de temperatura registrado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C42</w:t>
            </w:r>
          </w:p>
        </w:tc>
        <w:tc>
          <w:tcPr>
            <w:tcW w:w="8150" w:type="dxa"/>
          </w:tcPr>
          <w:p w:rsidR="00BF617B" w:rsidRDefault="00BF617B" w:rsidP="00730B06">
            <w:r>
              <w:t>Lectura del número de serie y del sensor de temperatura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C43</w:t>
            </w:r>
          </w:p>
        </w:tc>
        <w:tc>
          <w:tcPr>
            <w:tcW w:w="8150" w:type="dxa"/>
          </w:tcPr>
          <w:p w:rsidR="00BF617B" w:rsidRDefault="00BF617B" w:rsidP="00730B06">
            <w:r>
              <w:t>Ajuste del umbral de temperatura y el nombre lógico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C44</w:t>
            </w:r>
          </w:p>
        </w:tc>
        <w:tc>
          <w:tcPr>
            <w:tcW w:w="8150" w:type="dxa"/>
          </w:tcPr>
          <w:p w:rsidR="00BF617B" w:rsidRDefault="00BF617B" w:rsidP="00730B06">
            <w:r>
              <w:t>Lectura de los parámetros del sensor de temperatura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C46</w:t>
            </w:r>
          </w:p>
        </w:tc>
        <w:tc>
          <w:tcPr>
            <w:tcW w:w="8150" w:type="dxa"/>
          </w:tcPr>
          <w:p w:rsidR="00BF617B" w:rsidRDefault="00BF617B" w:rsidP="00730B06">
            <w:r>
              <w:t>Comprobación de los parámetros del sensor de temperatura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C47</w:t>
            </w:r>
          </w:p>
        </w:tc>
        <w:tc>
          <w:tcPr>
            <w:tcW w:w="8150" w:type="dxa"/>
          </w:tcPr>
          <w:p w:rsidR="00BF617B" w:rsidRDefault="00BF617B" w:rsidP="00730B06">
            <w:r>
              <w:t>Ajuste de los parámetros de combustible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C48</w:t>
            </w:r>
          </w:p>
        </w:tc>
        <w:tc>
          <w:tcPr>
            <w:tcW w:w="8150" w:type="dxa"/>
          </w:tcPr>
          <w:p w:rsidR="00BF617B" w:rsidRDefault="00BF617B" w:rsidP="00730B06">
            <w:r>
              <w:t>Lectura de los parámetros de combustible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C49</w:t>
            </w:r>
          </w:p>
        </w:tc>
        <w:tc>
          <w:tcPr>
            <w:tcW w:w="8150" w:type="dxa"/>
          </w:tcPr>
          <w:p w:rsidR="00BF617B" w:rsidRDefault="00BF617B" w:rsidP="00730B06">
            <w:r>
              <w:t>Ajuste de la alerta de robo de combustible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C61</w:t>
            </w:r>
          </w:p>
        </w:tc>
        <w:tc>
          <w:tcPr>
            <w:tcW w:w="8150" w:type="dxa"/>
          </w:tcPr>
          <w:p w:rsidR="00BF617B" w:rsidRDefault="00BF617B" w:rsidP="00730B06">
            <w:r>
              <w:t>Transmisión transparente de datos a través del puerto serie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C90</w:t>
            </w:r>
          </w:p>
        </w:tc>
        <w:tc>
          <w:tcPr>
            <w:tcW w:w="8150" w:type="dxa"/>
          </w:tcPr>
          <w:p w:rsidR="00BF617B" w:rsidRDefault="00BF617B" w:rsidP="00730B06">
            <w:r>
              <w:t>Ajuste de la función de fatiga del conductor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CB8</w:t>
            </w:r>
          </w:p>
        </w:tc>
        <w:tc>
          <w:tcPr>
            <w:tcW w:w="8150" w:type="dxa"/>
          </w:tcPr>
          <w:p w:rsidR="00BF617B" w:rsidRDefault="00BF617B" w:rsidP="00730B06">
            <w:r>
              <w:t>Ajuste de la reproducción de eventos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CFF</w:t>
            </w:r>
          </w:p>
        </w:tc>
        <w:tc>
          <w:tcPr>
            <w:tcW w:w="8150" w:type="dxa"/>
          </w:tcPr>
          <w:p w:rsidR="00BF617B" w:rsidRDefault="00BF617B" w:rsidP="00730B06">
            <w:r>
              <w:t>Eliminación de un evento en el buffer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D10</w:t>
            </w:r>
          </w:p>
        </w:tc>
        <w:tc>
          <w:tcPr>
            <w:tcW w:w="8150" w:type="dxa"/>
          </w:tcPr>
          <w:p w:rsidR="00BF617B" w:rsidRDefault="00BF617B" w:rsidP="00730B06">
            <w:r>
              <w:t>Autorización de una tarjeta RFID/llave iButton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D11</w:t>
            </w:r>
          </w:p>
        </w:tc>
        <w:tc>
          <w:tcPr>
            <w:tcW w:w="8150" w:type="dxa"/>
          </w:tcPr>
          <w:p w:rsidR="00BF617B" w:rsidRDefault="00BF617B" w:rsidP="00730B06">
            <w:r>
              <w:t>Autorización de tarjetas RFID/llaves iButton por lotes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D12</w:t>
            </w:r>
          </w:p>
        </w:tc>
        <w:tc>
          <w:tcPr>
            <w:tcW w:w="8150" w:type="dxa"/>
          </w:tcPr>
          <w:p w:rsidR="00BF617B" w:rsidRDefault="00BF617B" w:rsidP="00730B06">
            <w:r>
              <w:t>Comprobación de la autorización RFID/iButton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D13</w:t>
            </w:r>
          </w:p>
        </w:tc>
        <w:tc>
          <w:tcPr>
            <w:tcW w:w="8150" w:type="dxa"/>
          </w:tcPr>
          <w:p w:rsidR="00BF617B" w:rsidRDefault="00BF617B" w:rsidP="00730B06">
            <w:r>
              <w:t>Lectura de una tarjeta RFID/llave iButton autorizada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D14</w:t>
            </w:r>
          </w:p>
        </w:tc>
        <w:tc>
          <w:tcPr>
            <w:tcW w:w="8150" w:type="dxa"/>
          </w:tcPr>
          <w:p w:rsidR="00BF617B" w:rsidRDefault="00BF617B" w:rsidP="00730B06">
            <w:r>
              <w:t>Eliminación de una tarjeta RFID/llave iButton autorizada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D15</w:t>
            </w:r>
          </w:p>
        </w:tc>
        <w:tc>
          <w:tcPr>
            <w:tcW w:w="8150" w:type="dxa"/>
          </w:tcPr>
          <w:p w:rsidR="00BF617B" w:rsidRDefault="00BF617B" w:rsidP="00730B06">
            <w:r>
              <w:t>Eliminación de tarjetas RFID/llaves iButton autorizadas por lotes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D16</w:t>
            </w:r>
          </w:p>
        </w:tc>
        <w:tc>
          <w:tcPr>
            <w:tcW w:w="8150" w:type="dxa"/>
          </w:tcPr>
          <w:p w:rsidR="00BF617B" w:rsidRDefault="00BF617B" w:rsidP="00730B06">
            <w:r>
              <w:t>Comprobación del estado de autorización de RFID/iButton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D65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del kilometraje de mantenimiento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D66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del tiempo de mantenimiento</w:t>
            </w:r>
          </w:p>
        </w:tc>
      </w:tr>
      <w:tr w:rsidR="00BF617B" w:rsidTr="00710E2E">
        <w:trPr>
          <w:trHeight w:val="266"/>
        </w:trPr>
        <w:tc>
          <w:tcPr>
            <w:tcW w:w="1197" w:type="dxa"/>
          </w:tcPr>
          <w:p w:rsidR="00BF617B" w:rsidRDefault="00BF617B" w:rsidP="00730B06">
            <w:r>
              <w:t>D72</w:t>
            </w:r>
          </w:p>
        </w:tc>
        <w:tc>
          <w:tcPr>
            <w:tcW w:w="8150" w:type="dxa"/>
          </w:tcPr>
          <w:p w:rsidR="00BF617B" w:rsidRDefault="00BF617B" w:rsidP="00730B06">
            <w:r>
              <w:t>Configuración de la activación de salida</w:t>
            </w:r>
          </w:p>
        </w:tc>
      </w:tr>
      <w:tr w:rsidR="00BF617B" w:rsidTr="00710E2E">
        <w:trPr>
          <w:trHeight w:val="247"/>
        </w:trPr>
        <w:tc>
          <w:tcPr>
            <w:tcW w:w="1197" w:type="dxa"/>
          </w:tcPr>
          <w:p w:rsidR="00BF617B" w:rsidRDefault="00BF617B" w:rsidP="00730B06">
            <w:r>
              <w:t>D73</w:t>
            </w:r>
          </w:p>
        </w:tc>
        <w:tc>
          <w:tcPr>
            <w:tcW w:w="8150" w:type="dxa"/>
          </w:tcPr>
          <w:p w:rsidR="00BF617B" w:rsidRDefault="00BF617B" w:rsidP="00730B06">
            <w:r>
              <w:t>Asignación de espacio de almacenamiento de caché GPRS y registro GPS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t>D79</w:t>
            </w:r>
          </w:p>
        </w:tc>
        <w:tc>
          <w:tcPr>
            <w:tcW w:w="8150" w:type="dxa"/>
          </w:tcPr>
          <w:p w:rsidR="00710E2E" w:rsidRDefault="00710E2E" w:rsidP="00710E2E">
            <w:r>
              <w:t>Configuración de parámetros de aceleración y frenado bruscos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t>DA0</w:t>
            </w:r>
          </w:p>
        </w:tc>
        <w:tc>
          <w:tcPr>
            <w:tcW w:w="8150" w:type="dxa"/>
          </w:tcPr>
          <w:p w:rsidR="00710E2E" w:rsidRDefault="00710E2E" w:rsidP="00710E2E">
            <w:r>
              <w:t>Obtención de todos los parámetros de alerta en exceso de presión de neumáticos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t>DA1</w:t>
            </w:r>
          </w:p>
        </w:tc>
        <w:tc>
          <w:tcPr>
            <w:tcW w:w="8150" w:type="dxa"/>
          </w:tcPr>
          <w:p w:rsidR="00710E2E" w:rsidRDefault="00710E2E" w:rsidP="00710E2E">
            <w:r>
              <w:t>Obtención de datos de todos los sensores de presión de neumáticos vinculados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t>DA2</w:t>
            </w:r>
          </w:p>
        </w:tc>
        <w:tc>
          <w:tcPr>
            <w:tcW w:w="8150" w:type="dxa"/>
          </w:tcPr>
          <w:p w:rsidR="00710E2E" w:rsidRDefault="00710E2E" w:rsidP="00710E2E">
            <w:r>
              <w:t>Obtención de datos de un sensor de presión de neumáticos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t>DA3</w:t>
            </w:r>
          </w:p>
        </w:tc>
        <w:tc>
          <w:tcPr>
            <w:tcW w:w="8150" w:type="dxa"/>
          </w:tcPr>
          <w:p w:rsidR="00710E2E" w:rsidRDefault="00710E2E" w:rsidP="00710E2E">
            <w:r>
              <w:t>Eliminación de sensores de presión de neumáticos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t>DA4</w:t>
            </w:r>
          </w:p>
        </w:tc>
        <w:tc>
          <w:tcPr>
            <w:tcW w:w="8150" w:type="dxa"/>
          </w:tcPr>
          <w:p w:rsidR="00710E2E" w:rsidRDefault="00710E2E" w:rsidP="00710E2E">
            <w:r>
              <w:t>Obtención de datos de varios sensores de presión de neumáticos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lastRenderedPageBreak/>
              <w:t>DA5</w:t>
            </w:r>
          </w:p>
        </w:tc>
        <w:tc>
          <w:tcPr>
            <w:tcW w:w="8150" w:type="dxa"/>
          </w:tcPr>
          <w:p w:rsidR="00710E2E" w:rsidRDefault="00710E2E" w:rsidP="0044530B">
            <w:r>
              <w:t>Configuración de umbrales de alerta en sensor de presión de neumáticos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t>FY1</w:t>
            </w:r>
          </w:p>
        </w:tc>
        <w:tc>
          <w:tcPr>
            <w:tcW w:w="8150" w:type="dxa"/>
          </w:tcPr>
          <w:p w:rsidR="00710E2E" w:rsidRDefault="00710E2E" w:rsidP="0044530B">
            <w:r>
              <w:t>Lectura de la versión de firmware y número de serie del dispositivo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t>F00</w:t>
            </w:r>
          </w:p>
        </w:tc>
        <w:tc>
          <w:tcPr>
            <w:tcW w:w="8150" w:type="dxa"/>
          </w:tcPr>
          <w:p w:rsidR="00710E2E" w:rsidRDefault="00710E2E" w:rsidP="0044530B">
            <w:r>
              <w:t>Reinicio de los módulos GSM y GPS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t>F01</w:t>
            </w:r>
          </w:p>
        </w:tc>
        <w:tc>
          <w:tcPr>
            <w:tcW w:w="8150" w:type="dxa"/>
          </w:tcPr>
          <w:p w:rsidR="00710E2E" w:rsidRDefault="00710E2E" w:rsidP="0044530B">
            <w:r>
              <w:t>Reinicio del módulo GSM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t>F02</w:t>
            </w:r>
          </w:p>
        </w:tc>
        <w:tc>
          <w:tcPr>
            <w:tcW w:w="8150" w:type="dxa"/>
          </w:tcPr>
          <w:p w:rsidR="00710E2E" w:rsidRDefault="00710E2E" w:rsidP="0044530B">
            <w:r>
              <w:t>Reinicio del módulo GPS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t>F03</w:t>
            </w:r>
          </w:p>
        </w:tc>
        <w:tc>
          <w:tcPr>
            <w:tcW w:w="8150" w:type="dxa"/>
          </w:tcPr>
          <w:p w:rsidR="00710E2E" w:rsidRDefault="00710E2E" w:rsidP="0044530B">
            <w:r>
              <w:t>Configuración del kilometraje y el tiempo de funcionamiento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t>F09</w:t>
            </w:r>
          </w:p>
        </w:tc>
        <w:tc>
          <w:tcPr>
            <w:tcW w:w="8150" w:type="dxa"/>
          </w:tcPr>
          <w:p w:rsidR="00710E2E" w:rsidRDefault="00710E2E" w:rsidP="0044530B">
            <w:r>
              <w:t>Eliminación de datos de caché de SMS/GPRS</w:t>
            </w:r>
          </w:p>
        </w:tc>
      </w:tr>
      <w:tr w:rsidR="00710E2E" w:rsidTr="00710E2E">
        <w:tc>
          <w:tcPr>
            <w:tcW w:w="1197" w:type="dxa"/>
          </w:tcPr>
          <w:p w:rsidR="00710E2E" w:rsidRDefault="00710E2E" w:rsidP="0044530B">
            <w:r>
              <w:t>F11</w:t>
            </w:r>
          </w:p>
        </w:tc>
        <w:tc>
          <w:tcPr>
            <w:tcW w:w="8150" w:type="dxa"/>
          </w:tcPr>
          <w:p w:rsidR="00710E2E" w:rsidRDefault="00710E2E" w:rsidP="0044530B">
            <w:r>
              <w:t>Restauración de la configuración inicial</w:t>
            </w:r>
          </w:p>
        </w:tc>
      </w:tr>
    </w:tbl>
    <w:p w:rsidR="0054539B" w:rsidRDefault="0054539B">
      <w:bookmarkStart w:id="0" w:name="_GoBack"/>
      <w:bookmarkEnd w:id="0"/>
    </w:p>
    <w:sectPr w:rsidR="005453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539B"/>
    <w:rsid w:val="00710E2E"/>
    <w:rsid w:val="00AA1D8D"/>
    <w:rsid w:val="00B47730"/>
    <w:rsid w:val="00BF617B"/>
    <w:rsid w:val="00CB0664"/>
    <w:rsid w:val="00D967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FF5E95"/>
  <w14:defaultImageDpi w14:val="300"/>
  <w15:docId w15:val="{D68A7883-5237-41AD-9296-153299F8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F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E8D22B-6138-42BB-89E7-994BC288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743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E-EC1-3671</cp:lastModifiedBy>
  <cp:revision>3</cp:revision>
  <dcterms:created xsi:type="dcterms:W3CDTF">2026-02-05T20:58:00Z</dcterms:created>
  <dcterms:modified xsi:type="dcterms:W3CDTF">2026-02-05T21:06:00Z</dcterms:modified>
  <cp:category/>
</cp:coreProperties>
</file>